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2" w:rsidRPr="00F64F42" w:rsidRDefault="00F64F42" w:rsidP="00C661BC">
      <w:pPr>
        <w:spacing w:beforeAutospacing="1" w:after="100" w:afterAutospacing="1" w:line="240" w:lineRule="auto"/>
        <w:ind w:right="2144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Положение о Всероссийском конкурсе профессионального мастерства в области культуры и искусства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«УТВЕРЖДАЮ» </w:t>
      </w:r>
    </w:p>
    <w:p w:rsidR="00F64F42" w:rsidRPr="00F64F42" w:rsidRDefault="00F64F42" w:rsidP="00C661BC">
      <w:pPr>
        <w:spacing w:after="240" w:line="240" w:lineRule="auto"/>
        <w:ind w:right="21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заместитель</w:t>
      </w: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Министра культуры</w:t>
      </w: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_______________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В.В.Аристархов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64F42" w:rsidRPr="00F64F42" w:rsidRDefault="00F64F42" w:rsidP="00EC1241">
      <w:pPr>
        <w:spacing w:after="240" w:line="240" w:lineRule="auto"/>
        <w:ind w:right="214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6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о Всероссийском конкурсе профессионального мастерства в области культуры и искусства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Общие положения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Учредителем Всероссийского конкурса профессионального мастерства в области культуры и искусства (далее – Конкурс) является Министерство культуры Российской Федерации.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проводится в рамках реализации Указа Президента Российской Федерации от 7 мая 2012 года № 597 «О мероприятиях по реализации государственной социальной политики» в части привлечения детского населения к участию в творческих мероприятиях, Указа Президента Российской Федерации от 7 декабря 2015 года № 607 «О мерах государственной поддержки лиц, проявивших выдающиеся способности», постановления Правительства Российской Федерации от 17 ноября 2015 г. № 1239</w:t>
      </w:r>
      <w:proofErr w:type="gram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Правил выявления детей, проявивших выдающиеся способности, сопровождения и мониторинга их дальнейшего развития»,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О.Ю. 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Голодец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27.05.2015 г. № 3274п-П8.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Конкурс направлен на сохранение и развитие системы художественного образования в Российской Федерации, выявление и поддержку молодых дарований.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Конкурс проводится среди выпускников 2017 года, заканчивающих освоение образовательных программ среднего общего образования с углубленным изучением предметов в области скульптуры и архитектуры в художественных лицеях, а также среднего профессионального образования в образовательных учреждениях профессионального образования и вузах отрасли культуры.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1.4. Конкурс проводится по следующим номинациям: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социально-культурная деятельность;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музыкальное звукооператорское мастерство;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театрально-декорационное искусство, театральная и аудиовизуальная техника;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дизайн;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декоративно-прикладное искусство и народные промыслы;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реставрация;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скульптура, архитектура;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искусство фотографии;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анимация.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Порядок проведения Конкурса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Конкурс проводится в два тура.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I тур Конкурса проводится: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− органами управления культурой субъектов Российской Федерации среди учреждений высшего образования и образовательных учреждений профессионального образования, находящихся в ведении субъектов Российской Федерации или муниципальных образований;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учреждениями высшего образования, образовательными учреждениями профессионального образования, художественными лицеями, подведомственными Министерству культуры Российской Федерации.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проведения I тура Конкурса среди образовательных учреждений, находящихся в ведении субъектов Российской Федерации или муниципальных образований, определяется органами управления культурой субъектов Российской Федерации.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проведения I тура Конкурса в подведомственных Минкультуры России образовательных учреждениях определяется Ученым советом вуза или Советом образовательного учреждения профессионального образования и лицея.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</w:t>
      </w: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участия во II туре Конкурса органам управления культурой субъектов Российской Федерации и образовательным учреждениям, подведомственным Минкультуры России, до 10 апреля 2017 г. (по штампу регистрации входящего письма) необходимо направить по почтовому адресу: 125993, ГСП-3, Москва, Малый 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Гнездниковский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пер., д.7/6, стр.1, 2, директору Департамента науки и образования Минкультуры России 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Аракеловой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Александре Олеговне (с пометкой «Конкурс профессионального мастерства</w:t>
      </w:r>
      <w:proofErr w:type="gram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») следующие документы: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сопроводительное письмо в адрес директора Департамента от направляющей документы организации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− протокол заседания отборочной комиссии I тура Конкурса с указанием количества участников I тура Конкурса по номинациям и количества допущенных к участию во II туре с указанием ФИО участников (для учебных заведений, находящихся в ведении субъектов Российской Федерации или муниципальных образований) или выписку из заседания Ученого совета вуза или Совета образовательного учреждения профессионального образования и лицея с указанием количества участников первого</w:t>
      </w:r>
      <w:proofErr w:type="gram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тура конкурса по номинациям и количества допущенных к участию во II туре с указанием ФИО участников (для образовательных учреждений Минкультуры России);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− творческую биографию участника II тура с указанием: полного наименования учебного заведения с международным индексом, адреса, тел/факс, e-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, ФИО участника, номинации, класса (курса), имеющихся у участника творческих достижений, в том числе званий лауреата или дипломанта всероссийских и международных конкурсов, фестивалей, олимпиад, выставок, полученных за последние три года, ФИО преподавателя и имеющихся у преподавателя почетных званий и государственных наград (в печатном</w:t>
      </w:r>
      <w:proofErr w:type="gram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 и в формате .PDF и .DO</w:t>
      </w: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/.DOCX на DVD/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флеш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-накопителе, (далее - электронный цифровой носитель);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копии дипломов (при их наличии) всероссийских и международных конкурсов, фестивалей, олимпиад, выставок, полученные конкурсантами за последние три года, подтверждающие информацию, изложенную в творческой биографии (только в формате .PDF или .JPEG на электронном цифровом носителе);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копию свидетельства о рождении/паспорта с регистрацией места проживания участника (только в формате .PDF или .JPEG на электронном цифровом носителе);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разрешение (заявление) на обработку персональных данных, с учетом требований законодательства Российской Федерации (в отсканированном виде в формате .PDF или .JPEG на электронном цифровом носителе) от участника или его законного представителя на имя директора Департамента 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Аракеловой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А.О.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для участников Конкурса по номинациям: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социально-культурной деятельности, театрально-декорационного искусства, театральной и аудиовизуальной техники, дизайна, декоративно-прикладного искусства и народных промыслов, реставрации, скульптуры, архитектуры, искусства фотографии необходимо представить видео-презентацию творческого проекта/выставки работ с участием номинанта продолжительностью до 15 минут (в формате .DVD/.AVI на электронном цифровом носителе) либо фото-презентацию работы в формате .JPEG на электронном цифровом носителе; </w:t>
      </w:r>
      <w:proofErr w:type="gramEnd"/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Дополнительно участникам по номинациям: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социально-культурная деятельность необходимо представить эссе на тему "моя будущая профессия" в формате .WORD в объеме не более 5 стр.;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музыкального звукооператорского мастерства - аудио-презентацию творческой работы, а также эссе номинанта на тему "мои творческие достижения" в формате .WORD в объеме не более 5 стр. либо копию курсовой работы, подготовленную в рамках образовательного процесса с двумя отзывами/рецензиями на нее (внутренними или внешними);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анимации - видео-презентацию работы на электронном цифровом носителе (формат и хронометраж не регламентируется).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и документы на участников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Органом управления культурой субъекта Российской Федерации или подведомственным Минкультуры России образовательным учреждением количество участников II тура определяется следующим образом: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каждого субъекта Российской Федерации по каждой номинации может быть представлено не более 2-х кандидатур;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каждого образовательного учреждения, подведомственного Минкультуры России, по каждой номинации может быть представлено не более 1 кандидатуры.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2.5. Для проведения II тура Конкурса Минкультуры России утверждает жюри Конкурса. II тур Конкурса проходит в период с 15 мая по 28 мая 2017 года либо в режиме он-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лайн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, организуемом, с одной стороны, органом управления культурой субъекта Российской Федерации/образовательным учреждением, с другой - Минкультуры России, либо на базе одного из подведомственных Минкультуры России образовательного учреждения. Точное место, вр</w:t>
      </w:r>
      <w:r w:rsidR="004E38B2">
        <w:rPr>
          <w:rFonts w:ascii="Times New Roman" w:eastAsia="Times New Roman" w:hAnsi="Times New Roman" w:cs="Times New Roman"/>
          <w:color w:val="333333"/>
          <w:sz w:val="28"/>
          <w:szCs w:val="28"/>
        </w:rPr>
        <w:t>емя и режим проведения II тура К</w:t>
      </w: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онкурса будут доведены до сведения конкурсантов дополнительно, но не позднее, чем за 12 дней до проведения очного прослушивания/просмотра.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2.6. В каждой номинации жюри выбирает лауреатов 1, 2 и 3 премий. </w:t>
      </w:r>
      <w:bookmarkStart w:id="0" w:name="_GoBack"/>
      <w:bookmarkEnd w:id="0"/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Жюри имеет право присуждать премии не во всех номинациях.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Жюри окончательное и пересмотру не подлежит. </w:t>
      </w:r>
    </w:p>
    <w:p w:rsidR="00F64F42" w:rsidRPr="00F64F42" w:rsidRDefault="00F64F42" w:rsidP="00C661BC">
      <w:pPr>
        <w:spacing w:after="240" w:line="240" w:lineRule="auto"/>
        <w:ind w:right="214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Награждение лауреатов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Лауреаты Конкурса награждаются: 1 премия денежными призами и дипломами, 2 и 3 - дипломами. </w:t>
      </w:r>
    </w:p>
    <w:p w:rsidR="00F64F42" w:rsidRPr="00F64F42" w:rsidRDefault="00F64F42" w:rsidP="00C661BC">
      <w:pPr>
        <w:spacing w:after="240"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По решению жюри лауреаты Конкурса могут быть привлечены к проводимым Минкультуры России мастер-классам, концертам, выставкам, в которых также могут быть использованы материалы, присланные в Минкультуры России на каждого участника Конкурса согласно п. 2.3. </w:t>
      </w:r>
    </w:p>
    <w:p w:rsidR="00F64F42" w:rsidRPr="00FA3BFB" w:rsidRDefault="00F64F42" w:rsidP="00C661BC">
      <w:pPr>
        <w:spacing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</w:t>
      </w:r>
      <w:proofErr w:type="gram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Лауреатам Конкурса 1-3 премий, поступившим в 2017 году на профильные образовательные программы высшего образования (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бакалавриат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специалитет</w:t>
      </w:r>
      <w:proofErr w:type="spell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>) по очной форме обучения, предоставляется возможность претендовать на назначение гранта Президента Российской Федерации на весь период обучения согласно Указу Президента Российской Федерации от 7 декабря 2015 года № 607 «О мерах государственной поддержки лиц, проявивших выдающиеся способности» и постановлению Правительства Российской Федерации от 17</w:t>
      </w:r>
      <w:proofErr w:type="gramEnd"/>
      <w:r w:rsidRPr="00F64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ноября 2015 г. № 1239 «Об утверждении Правил выявления детей, проявивших выдающиеся способности, сопровождения и мониторинга их дальнейшего развития». </w:t>
      </w:r>
    </w:p>
    <w:p w:rsidR="00FA3BFB" w:rsidRPr="00FA3BFB" w:rsidRDefault="00FA3BFB" w:rsidP="00C661BC">
      <w:pPr>
        <w:spacing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3BFB" w:rsidRPr="00FA3BFB" w:rsidRDefault="00FA3BFB" w:rsidP="00C661BC">
      <w:pPr>
        <w:spacing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3BFB" w:rsidRPr="00FA3BFB" w:rsidRDefault="00FA3BFB" w:rsidP="00C661BC">
      <w:pPr>
        <w:ind w:right="2144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3BFB" w:rsidRPr="00FA3BFB" w:rsidRDefault="00FA3BFB" w:rsidP="00C661BC">
      <w:pPr>
        <w:ind w:right="2144"/>
        <w:jc w:val="center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FA3BFB" w:rsidRPr="00FA3BFB" w:rsidRDefault="00FA3BFB" w:rsidP="00C661BC">
      <w:pPr>
        <w:ind w:right="2144"/>
        <w:jc w:val="center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мастерства </w:t>
      </w:r>
    </w:p>
    <w:p w:rsidR="00FA3BFB" w:rsidRPr="00FA3BFB" w:rsidRDefault="00FA3BFB" w:rsidP="00C661BC">
      <w:pPr>
        <w:ind w:right="2144"/>
        <w:jc w:val="center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в области культуры и искусства</w:t>
      </w: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4614"/>
      </w:tblGrid>
      <w:tr w:rsidR="00FA3BFB" w:rsidRPr="00FA3BFB" w:rsidTr="00376479">
        <w:tc>
          <w:tcPr>
            <w:tcW w:w="3794" w:type="dxa"/>
            <w:shd w:val="clear" w:color="auto" w:fill="auto"/>
          </w:tcPr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В.В. Аристархов </w:t>
            </w: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A3BFB" w:rsidRPr="00FA3BFB" w:rsidRDefault="00FA3BFB" w:rsidP="00C661BC">
            <w:pPr>
              <w:spacing w:after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заместительМинистра</w:t>
            </w:r>
            <w:proofErr w:type="spellEnd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FA3BFB" w:rsidRPr="00FA3BFB" w:rsidRDefault="00FA3BFB" w:rsidP="00C661BC">
            <w:pPr>
              <w:spacing w:after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FB" w:rsidRPr="00FA3BFB" w:rsidTr="00376479">
        <w:tc>
          <w:tcPr>
            <w:tcW w:w="3794" w:type="dxa"/>
            <w:shd w:val="clear" w:color="auto" w:fill="auto"/>
          </w:tcPr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науки и образования Министерства культуры Российской Федерации, заслуженный работник культуры Российской Федерации, доктор искусствоведения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3BFB" w:rsidRPr="00FA3BFB" w:rsidTr="00376479">
        <w:tc>
          <w:tcPr>
            <w:tcW w:w="3794" w:type="dxa"/>
            <w:shd w:val="clear" w:color="auto" w:fill="auto"/>
          </w:tcPr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А.Д. Григорьева </w:t>
            </w:r>
          </w:p>
        </w:tc>
        <w:tc>
          <w:tcPr>
            <w:tcW w:w="5386" w:type="dxa"/>
            <w:shd w:val="clear" w:color="auto" w:fill="auto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и науки Департамента науки и образования Минкультуры России</w:t>
            </w: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3BFB" w:rsidRPr="00FA3BFB" w:rsidTr="00376479">
        <w:trPr>
          <w:trHeight w:val="1599"/>
        </w:trPr>
        <w:tc>
          <w:tcPr>
            <w:tcW w:w="3794" w:type="dxa"/>
            <w:shd w:val="clear" w:color="auto" w:fill="auto"/>
          </w:tcPr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Солдатикова</w:t>
            </w:r>
            <w:proofErr w:type="spellEnd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spacing w:line="360" w:lineRule="auto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tabs>
                <w:tab w:val="left" w:pos="1375"/>
                <w:tab w:val="left" w:pos="1642"/>
              </w:tabs>
              <w:snapToGrid w:val="0"/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Академического музыкального училища при Московской государственной консерватории им. П.И.Чайковского, заслуженный работник культуры Российской Федерации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BFB" w:rsidRPr="00FA3BFB" w:rsidRDefault="00FA3BFB" w:rsidP="00C661BC">
      <w:pPr>
        <w:ind w:right="2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jc w:val="right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3BFB" w:rsidRPr="00FA3BFB" w:rsidRDefault="00FA3BFB" w:rsidP="00C661BC">
      <w:pPr>
        <w:spacing w:after="0"/>
        <w:ind w:right="2144"/>
        <w:jc w:val="right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spacing w:after="0"/>
        <w:ind w:right="2144"/>
        <w:jc w:val="center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 xml:space="preserve">Состав жюри </w:t>
      </w:r>
    </w:p>
    <w:p w:rsidR="00FA3BFB" w:rsidRPr="00FA3BFB" w:rsidRDefault="00FA3BFB" w:rsidP="00C661BC">
      <w:pPr>
        <w:spacing w:after="0"/>
        <w:ind w:right="2144"/>
        <w:jc w:val="center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мастерства </w:t>
      </w:r>
    </w:p>
    <w:p w:rsidR="00FA3BFB" w:rsidRPr="00FA3BFB" w:rsidRDefault="00FA3BFB" w:rsidP="00C661BC">
      <w:pPr>
        <w:spacing w:after="0"/>
        <w:ind w:right="2144"/>
        <w:jc w:val="center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в области культуры и искусства</w:t>
      </w:r>
    </w:p>
    <w:p w:rsidR="00FA3BFB" w:rsidRPr="00FA3BFB" w:rsidRDefault="00FA3BFB" w:rsidP="00C661BC">
      <w:pPr>
        <w:spacing w:line="360" w:lineRule="auto"/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spacing w:line="360" w:lineRule="auto"/>
        <w:ind w:right="2144"/>
        <w:rPr>
          <w:rFonts w:ascii="Times New Roman" w:hAnsi="Times New Roman" w:cs="Times New Roman"/>
          <w:sz w:val="28"/>
          <w:szCs w:val="28"/>
        </w:rPr>
      </w:pPr>
      <w:r w:rsidRPr="00FA3BFB">
        <w:rPr>
          <w:rFonts w:ascii="Times New Roman" w:hAnsi="Times New Roman" w:cs="Times New Roman"/>
          <w:sz w:val="28"/>
          <w:szCs w:val="28"/>
        </w:rPr>
        <w:t>Председатель жюри: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68"/>
        <w:gridCol w:w="221"/>
      </w:tblGrid>
      <w:tr w:rsidR="00FA3BFB" w:rsidRPr="00FA3BFB" w:rsidTr="00376479">
        <w:trPr>
          <w:trHeight w:val="1544"/>
        </w:trPr>
        <w:tc>
          <w:tcPr>
            <w:tcW w:w="9142" w:type="dxa"/>
            <w:shd w:val="clear" w:color="auto" w:fill="auto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4649"/>
            </w:tblGrid>
            <w:tr w:rsidR="00FA3BFB" w:rsidRPr="00FA3BFB" w:rsidTr="00376479">
              <w:tc>
                <w:tcPr>
                  <w:tcW w:w="4106" w:type="dxa"/>
                </w:tcPr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Г.В.Маяровская</w:t>
                  </w:r>
                  <w:proofErr w:type="spellEnd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gramStart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ектора Российской академии музыки им. Гнесиных, заслуженный деятель искусств Российской Федерации</w:t>
                  </w: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8"/>
              <w:gridCol w:w="4234"/>
            </w:tblGrid>
            <w:tr w:rsidR="00FA3BFB" w:rsidRPr="00FA3BFB" w:rsidTr="00376479">
              <w:tc>
                <w:tcPr>
                  <w:tcW w:w="4106" w:type="dxa"/>
                </w:tcPr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С.С.Зенгин</w:t>
                  </w:r>
                  <w:proofErr w:type="spellEnd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И.В. Лобанов</w:t>
                  </w: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Т.А.Мищенко </w:t>
                  </w: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А.П. Николаева-</w:t>
                  </w:r>
                  <w:proofErr w:type="spellStart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Чинарова</w:t>
                  </w:r>
                  <w:proofErr w:type="spellEnd"/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61BC" w:rsidRDefault="00C661BC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А.С.Тургаев</w:t>
                  </w:r>
                  <w:proofErr w:type="spellEnd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05" w:type="dxa"/>
                </w:tcPr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Краснодарского государственного института культуры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Московского государственного института культуры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ind w:left="-108"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 директора Академического художественного лицея </w:t>
                  </w:r>
                  <w:proofErr w:type="spellStart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имениБ.В</w:t>
                  </w:r>
                  <w:proofErr w:type="spellEnd"/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Иогансона при Российской академии художеств </w:t>
                  </w:r>
                </w:p>
                <w:p w:rsidR="00FA3BFB" w:rsidRPr="00FA3BFB" w:rsidRDefault="00FA3BFB" w:rsidP="00C661BC">
                  <w:pPr>
                    <w:ind w:left="-108"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FA3BFB" w:rsidRPr="00FA3BFB" w:rsidRDefault="00FA3BFB" w:rsidP="00C661BC">
                  <w:pPr>
                    <w:ind w:left="-108"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Научно-исследовательского института Всероссийского государственного института кинематографии имени С.А. Герасимова, заслуженный работник культуры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Санкт-Петербургского государственного института культуры, заслуженный работник высшей школы Российской Федерации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FA3BFB" w:rsidRPr="00FA3BFB" w:rsidRDefault="00FA3BFB" w:rsidP="00C661BC">
                  <w:pPr>
                    <w:tabs>
                      <w:tab w:val="left" w:pos="4820"/>
                    </w:tabs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3BFB" w:rsidRPr="00FA3BFB" w:rsidTr="00376479">
              <w:tc>
                <w:tcPr>
                  <w:tcW w:w="4106" w:type="dxa"/>
                </w:tcPr>
                <w:p w:rsidR="00FA3BFB" w:rsidRPr="00C661BC" w:rsidRDefault="00FA3BFB" w:rsidP="00C661BC">
                  <w:pPr>
                    <w:ind w:right="2144"/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C661BC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Шунков</w:t>
                  </w:r>
                  <w:proofErr w:type="spellEnd"/>
                  <w:r w:rsidRPr="00C661BC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Александр </w:t>
                  </w:r>
                </w:p>
                <w:p w:rsidR="00FA3BFB" w:rsidRPr="00C661BC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61BC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Викторович</w:t>
                  </w:r>
                </w:p>
                <w:p w:rsidR="00FA3BFB" w:rsidRPr="00FA3BFB" w:rsidRDefault="00FA3BFB" w:rsidP="00C661BC">
                  <w:pPr>
                    <w:ind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05" w:type="dxa"/>
                </w:tcPr>
                <w:p w:rsidR="00FA3BFB" w:rsidRPr="00FA3BFB" w:rsidRDefault="00FA3BFB" w:rsidP="00C661BC">
                  <w:pPr>
                    <w:ind w:right="2144"/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Кемеровского государственного института культуры</w:t>
                  </w:r>
                </w:p>
                <w:p w:rsidR="00FA3BFB" w:rsidRPr="00FA3BFB" w:rsidRDefault="00FA3BFB" w:rsidP="00C661BC">
                  <w:pPr>
                    <w:ind w:left="-108" w:right="21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22"/>
        <w:gridCol w:w="4378"/>
      </w:tblGrid>
      <w:tr w:rsidR="00FA3BFB" w:rsidRPr="00FA3BFB" w:rsidTr="00376479">
        <w:tc>
          <w:tcPr>
            <w:tcW w:w="3114" w:type="dxa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В.Я.Рушанин</w:t>
            </w:r>
            <w:proofErr w:type="spellEnd"/>
          </w:p>
        </w:tc>
        <w:tc>
          <w:tcPr>
            <w:tcW w:w="1139" w:type="dxa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Ректор Челябинского государственного института культуры, заслуженный работник высшей школы Российской Федерации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BFB" w:rsidRPr="00FA3BFB" w:rsidRDefault="00FA3BFB" w:rsidP="00C661BC">
            <w:pPr>
              <w:ind w:left="-108"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FB" w:rsidRPr="00FA3BFB" w:rsidTr="00376479">
        <w:tc>
          <w:tcPr>
            <w:tcW w:w="3114" w:type="dxa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С.В.Тимохов</w:t>
            </w:r>
            <w:proofErr w:type="spellEnd"/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и.о. ректора Красноярского государственного художественного института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  <w:r w:rsidRPr="00FA3B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BFB" w:rsidRPr="00FA3BFB" w:rsidRDefault="00FA3BFB" w:rsidP="00C661BC">
            <w:pPr>
              <w:ind w:right="2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BFB" w:rsidRPr="00FA3BFB" w:rsidRDefault="00FA3BF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p w:rsidR="00FA3BFB" w:rsidRPr="00FA3BFB" w:rsidRDefault="00FA3BFB" w:rsidP="00C661BC">
      <w:pPr>
        <w:ind w:right="2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A3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3BFB" w:rsidRPr="00F64F42" w:rsidRDefault="00FA3BFB" w:rsidP="00C661BC">
      <w:pPr>
        <w:spacing w:line="240" w:lineRule="auto"/>
        <w:ind w:right="2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A1B" w:rsidRPr="00FA3BFB" w:rsidRDefault="00B86A1B" w:rsidP="00C661BC">
      <w:pPr>
        <w:ind w:right="2144"/>
        <w:rPr>
          <w:rFonts w:ascii="Times New Roman" w:hAnsi="Times New Roman" w:cs="Times New Roman"/>
          <w:sz w:val="28"/>
          <w:szCs w:val="28"/>
        </w:rPr>
      </w:pPr>
    </w:p>
    <w:sectPr w:rsidR="00B86A1B" w:rsidRPr="00FA3BFB" w:rsidSect="00C661BC">
      <w:pgSz w:w="11906" w:h="16838"/>
      <w:pgMar w:top="1134" w:right="213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F42"/>
    <w:rsid w:val="004E38B2"/>
    <w:rsid w:val="00B86A1B"/>
    <w:rsid w:val="00C661BC"/>
    <w:rsid w:val="00EC1241"/>
    <w:rsid w:val="00F64F42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B"/>
  </w:style>
  <w:style w:type="paragraph" w:styleId="1">
    <w:name w:val="heading 1"/>
    <w:basedOn w:val="a"/>
    <w:link w:val="10"/>
    <w:uiPriority w:val="9"/>
    <w:qFormat/>
    <w:rsid w:val="00F64F4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42"/>
    <w:rPr>
      <w:rFonts w:ascii="Georgia" w:eastAsia="Times New Roman" w:hAnsi="Georgia" w:cs="Times New Roman"/>
      <w:kern w:val="36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F64F42"/>
    <w:pPr>
      <w:spacing w:after="24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39"/>
    <w:rsid w:val="00FA3B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A3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73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717">
                  <w:marLeft w:val="0"/>
                  <w:marRight w:val="0"/>
                  <w:marTop w:val="272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2017-03-10T14:14:00Z</dcterms:created>
  <dcterms:modified xsi:type="dcterms:W3CDTF">2017-03-12T18:55:00Z</dcterms:modified>
</cp:coreProperties>
</file>